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2318697</wp:posOffset>
            </wp:positionH>
            <wp:positionV relativeFrom="paragraph">
              <wp:posOffset>6824</wp:posOffset>
            </wp:positionV>
            <wp:extent cx="512578" cy="586854"/>
            <wp:effectExtent l="19050" t="0" r="1772" b="0"/>
            <wp:wrapNone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CE786D" w:rsidRDefault="005407A8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Biology</w:t>
      </w:r>
    </w:p>
    <w:p w:rsidR="00F531D4" w:rsidRDefault="001E18CF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Ind w:w="3045" w:type="dxa"/>
        <w:tblLook w:val="04A0"/>
      </w:tblPr>
      <w:tblGrid>
        <w:gridCol w:w="4621"/>
        <w:gridCol w:w="4701"/>
      </w:tblGrid>
      <w:tr w:rsidR="007649E3" w:rsidRPr="00DA4EFD" w:rsidTr="00352F48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125032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Investigative and practical skills in A2 Biology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407A8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BIOL</w:t>
            </w:r>
            <w:r w:rsidR="0024136A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1E18CF" w:rsidRPr="00DA4EFD" w:rsidTr="00352F48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900E68" w:rsidRDefault="00900E68" w:rsidP="00900E68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900E68" w:rsidRDefault="00900E68" w:rsidP="00900E68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DA4EFD" w:rsidRDefault="00DA4EFD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3234"/>
        <w:gridCol w:w="7087"/>
        <w:gridCol w:w="797"/>
        <w:gridCol w:w="797"/>
        <w:gridCol w:w="797"/>
        <w:gridCol w:w="2915"/>
      </w:tblGrid>
      <w:tr w:rsidR="00900E68" w:rsidRPr="00DA4EFD" w:rsidTr="0024136A">
        <w:trPr>
          <w:jc w:val="center"/>
        </w:trPr>
        <w:tc>
          <w:tcPr>
            <w:tcW w:w="10321" w:type="dxa"/>
            <w:gridSpan w:val="2"/>
          </w:tcPr>
          <w:p w:rsidR="00900E68" w:rsidRPr="00DA4EFD" w:rsidRDefault="00900E68" w:rsidP="00900E6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Practical skills</w:t>
            </w:r>
          </w:p>
        </w:tc>
        <w:tc>
          <w:tcPr>
            <w:tcW w:w="797" w:type="dxa"/>
          </w:tcPr>
          <w:p w:rsidR="00900E68" w:rsidRPr="008438C1" w:rsidRDefault="00900E68" w:rsidP="000C0B70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900E68" w:rsidRPr="008438C1" w:rsidRDefault="00900E68" w:rsidP="000C0B70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900E68" w:rsidRPr="008438C1" w:rsidRDefault="00900E68" w:rsidP="000C0B70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900E68" w:rsidRPr="000C02BB" w:rsidRDefault="00900E68" w:rsidP="000C0B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900E68" w:rsidRPr="00F531D4" w:rsidTr="0024136A">
        <w:trPr>
          <w:trHeight w:val="244"/>
          <w:jc w:val="center"/>
        </w:trPr>
        <w:tc>
          <w:tcPr>
            <w:tcW w:w="3234" w:type="dxa"/>
            <w:vMerge w:val="restart"/>
          </w:tcPr>
          <w:p w:rsidR="0024136A" w:rsidRPr="00143CE4" w:rsidRDefault="0024136A" w:rsidP="002413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3CE4">
              <w:rPr>
                <w:rFonts w:ascii="Comic Sans MS" w:hAnsi="Comic Sans MS"/>
                <w:b/>
                <w:sz w:val="20"/>
                <w:szCs w:val="20"/>
              </w:rPr>
              <w:t>Practical work carried out in the context of Units 1 and 2 should enable candidates to gain</w:t>
            </w:r>
            <w:r w:rsidR="00143C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b/>
                <w:sz w:val="20"/>
                <w:szCs w:val="20"/>
              </w:rPr>
              <w:t>experience of...</w:t>
            </w:r>
          </w:p>
          <w:p w:rsidR="00900E68" w:rsidRPr="00055B18" w:rsidRDefault="00900E68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Pr="00055B18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the use of water baths to change or control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temperature</w:t>
            </w: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136A" w:rsidRPr="00F531D4" w:rsidTr="0024136A">
        <w:trPr>
          <w:trHeight w:val="301"/>
          <w:jc w:val="center"/>
        </w:trPr>
        <w:tc>
          <w:tcPr>
            <w:tcW w:w="3234" w:type="dxa"/>
            <w:vMerge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the use of buffers to change or control pH</w:t>
            </w: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136A" w:rsidRPr="00F531D4" w:rsidTr="0024136A">
        <w:trPr>
          <w:trHeight w:val="536"/>
          <w:jc w:val="center"/>
        </w:trPr>
        <w:tc>
          <w:tcPr>
            <w:tcW w:w="3234" w:type="dxa"/>
            <w:vMerge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producing an appropriate dilution series when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provided with stock solutions of reagents.</w:t>
            </w: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0E68" w:rsidRPr="00F531D4" w:rsidTr="0024136A">
        <w:trPr>
          <w:trHeight w:val="533"/>
          <w:jc w:val="center"/>
        </w:trPr>
        <w:tc>
          <w:tcPr>
            <w:tcW w:w="3234" w:type="dxa"/>
            <w:vMerge/>
          </w:tcPr>
          <w:p w:rsidR="00900E68" w:rsidRPr="00900E68" w:rsidRDefault="00900E68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0E68" w:rsidRPr="00900E68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using an optical microscope, preparing temporary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mounts, staining and estimating size</w:t>
            </w: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F531D4" w:rsidRDefault="00900E68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900E68" w:rsidRPr="00DA4EFD" w:rsidRDefault="00900E68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136A" w:rsidRPr="00F531D4" w:rsidTr="0024136A">
        <w:trPr>
          <w:trHeight w:val="1122"/>
          <w:jc w:val="center"/>
        </w:trPr>
        <w:tc>
          <w:tcPr>
            <w:tcW w:w="3234" w:type="dxa"/>
            <w:vMerge/>
          </w:tcPr>
          <w:p w:rsidR="0024136A" w:rsidRPr="00900E68" w:rsidRDefault="0024136A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collection of reliable quantitative data where</w:t>
            </w:r>
          </w:p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– gas is evolved</w:t>
            </w:r>
          </w:p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– colour change takes place</w:t>
            </w:r>
          </w:p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– there are changes in mass or length.</w:t>
            </w: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136A" w:rsidRPr="00F531D4" w:rsidTr="00143CE4">
        <w:trPr>
          <w:trHeight w:val="596"/>
          <w:jc w:val="center"/>
        </w:trPr>
        <w:tc>
          <w:tcPr>
            <w:tcW w:w="3234" w:type="dxa"/>
            <w:vMerge/>
          </w:tcPr>
          <w:p w:rsidR="0024136A" w:rsidRPr="00900E68" w:rsidRDefault="0024136A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36A" w:rsidRPr="00DA7E28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using a standard scientific calculator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calculate mean and standard deviation, rate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percentage change</w:t>
            </w: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136A" w:rsidRPr="00F531D4" w:rsidTr="00143CE4">
        <w:trPr>
          <w:trHeight w:val="392"/>
          <w:jc w:val="center"/>
        </w:trPr>
        <w:tc>
          <w:tcPr>
            <w:tcW w:w="3234" w:type="dxa"/>
            <w:vMerge/>
          </w:tcPr>
          <w:p w:rsidR="0024136A" w:rsidRPr="00900E68" w:rsidRDefault="0024136A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plotting data as line graphs, bar charts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histograms</w:t>
            </w: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136A" w:rsidRPr="00F531D4" w:rsidTr="0024136A">
        <w:trPr>
          <w:trHeight w:val="603"/>
          <w:jc w:val="center"/>
        </w:trPr>
        <w:tc>
          <w:tcPr>
            <w:tcW w:w="3234" w:type="dxa"/>
            <w:vMerge/>
          </w:tcPr>
          <w:p w:rsidR="0024136A" w:rsidRPr="00900E68" w:rsidRDefault="0024136A" w:rsidP="00900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36A" w:rsidRPr="0024136A" w:rsidRDefault="0024136A" w:rsidP="0024136A">
            <w:pPr>
              <w:rPr>
                <w:rFonts w:ascii="Comic Sans MS" w:hAnsi="Comic Sans MS"/>
                <w:sz w:val="20"/>
                <w:szCs w:val="20"/>
              </w:rPr>
            </w:pPr>
            <w:r w:rsidRPr="0024136A">
              <w:rPr>
                <w:rFonts w:ascii="Comic Sans MS" w:hAnsi="Comic Sans MS"/>
                <w:sz w:val="20"/>
                <w:szCs w:val="20"/>
              </w:rPr>
              <w:t>• plotting data as scatter diagrams and using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4136A">
              <w:rPr>
                <w:rFonts w:ascii="Comic Sans MS" w:hAnsi="Comic Sans MS"/>
                <w:sz w:val="20"/>
                <w:szCs w:val="20"/>
              </w:rPr>
              <w:t>to identify correlation.</w:t>
            </w: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F531D4" w:rsidRDefault="0024136A" w:rsidP="000C0B70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24136A" w:rsidRPr="00DA4EFD" w:rsidRDefault="0024136A" w:rsidP="000C0B7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00E68" w:rsidRPr="00F531D4" w:rsidRDefault="00900E68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Default="00F531D4" w:rsidP="00DA4EFD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3234"/>
        <w:gridCol w:w="7087"/>
        <w:gridCol w:w="797"/>
        <w:gridCol w:w="797"/>
        <w:gridCol w:w="797"/>
        <w:gridCol w:w="2915"/>
      </w:tblGrid>
      <w:tr w:rsidR="000C02BB" w:rsidRPr="00DA4EFD" w:rsidTr="00DF1254">
        <w:trPr>
          <w:jc w:val="center"/>
        </w:trPr>
        <w:tc>
          <w:tcPr>
            <w:tcW w:w="10321" w:type="dxa"/>
            <w:gridSpan w:val="2"/>
          </w:tcPr>
          <w:p w:rsidR="000C02BB" w:rsidRPr="00DA4EFD" w:rsidRDefault="00544A4F" w:rsidP="00DD18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br w:type="page"/>
            </w:r>
            <w:r w:rsidR="00CA3470"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</w:t>
            </w:r>
            <w:r w:rsidR="00581BD0">
              <w:rPr>
                <w:rFonts w:ascii="Bookman Old Style" w:hAnsi="Bookman Old Style"/>
                <w:b/>
                <w:sz w:val="24"/>
                <w:szCs w:val="24"/>
              </w:rPr>
              <w:t>content</w:t>
            </w:r>
            <w:r w:rsidR="00CA3470">
              <w:rPr>
                <w:rFonts w:ascii="Bookman Old Style" w:hAnsi="Bookman Old Style"/>
                <w:b/>
                <w:sz w:val="24"/>
                <w:szCs w:val="24"/>
              </w:rPr>
              <w:t xml:space="preserve"> (skills are highlighted in bold)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0C02BB" w:rsidRPr="000C02BB" w:rsidRDefault="000C02BB" w:rsidP="00DD18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45209" w:rsidRPr="00F531D4" w:rsidTr="00DF1254">
        <w:trPr>
          <w:trHeight w:val="820"/>
          <w:jc w:val="center"/>
        </w:trPr>
        <w:tc>
          <w:tcPr>
            <w:tcW w:w="3234" w:type="dxa"/>
            <w:vMerge w:val="restart"/>
          </w:tcPr>
          <w:p w:rsidR="00645209" w:rsidRPr="00055B18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3.3.1 Investigating biological problems involves changing a specific factor, the independent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variable, and measuring the changes in the dependent variable that result.</w:t>
            </w: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Candidates should be able to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645209" w:rsidRPr="00055B18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use knowledge and understanding from the AS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specification to pose scientific questions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define scientific problems</w:t>
            </w:r>
          </w:p>
        </w:tc>
        <w:tc>
          <w:tcPr>
            <w:tcW w:w="797" w:type="dxa"/>
          </w:tcPr>
          <w:p w:rsidR="00645209" w:rsidRPr="00F531D4" w:rsidRDefault="00645209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45209" w:rsidRPr="00F531D4" w:rsidRDefault="00645209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45209" w:rsidRPr="00DA4EFD" w:rsidRDefault="00645209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645209" w:rsidRPr="00DA4EFD" w:rsidRDefault="00645209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837"/>
          <w:jc w:val="center"/>
        </w:trPr>
        <w:tc>
          <w:tcPr>
            <w:tcW w:w="3234" w:type="dxa"/>
            <w:vMerge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identify the independent variable and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an appropriate method of varying it in such detail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that a student starting an AS course could carry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out the suggested procedure without further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assistance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1113"/>
          <w:jc w:val="center"/>
        </w:trPr>
        <w:tc>
          <w:tcPr>
            <w:tcW w:w="3234" w:type="dxa"/>
            <w:vMerge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identify other variables that might be expected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to exert a significant influence on the results,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use knowledge from relevant parts of the AS</w:t>
            </w:r>
          </w:p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specification to explain why, and describe how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these would be kept constant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569"/>
          <w:jc w:val="center"/>
        </w:trPr>
        <w:tc>
          <w:tcPr>
            <w:tcW w:w="3234" w:type="dxa"/>
            <w:vMerge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where necessary, describe how and explain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why appropriate control experiments should 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established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1127"/>
          <w:jc w:val="center"/>
        </w:trPr>
        <w:tc>
          <w:tcPr>
            <w:tcW w:w="3234" w:type="dxa"/>
            <w:vMerge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identify the dependent variable and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how they would collect a full range of useful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quantitative data, measured to an appropriate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level of accuracy and precision</w:t>
            </w:r>
          </w:p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623"/>
          <w:jc w:val="center"/>
        </w:trPr>
        <w:tc>
          <w:tcPr>
            <w:tcW w:w="3234" w:type="dxa"/>
            <w:vMerge/>
          </w:tcPr>
          <w:p w:rsidR="00143CE4" w:rsidRPr="00055B18" w:rsidRDefault="00143CE4" w:rsidP="000C0B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DA7E28" w:rsidRDefault="00143CE4" w:rsidP="00DA7E28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distinguish between accuracy and reliability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describe precautions needed to obtain valid,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accurate and reliable data.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7536E" w:rsidRPr="00F531D4" w:rsidTr="00DF1254">
        <w:trPr>
          <w:trHeight w:val="1071"/>
          <w:jc w:val="center"/>
        </w:trPr>
        <w:tc>
          <w:tcPr>
            <w:tcW w:w="3234" w:type="dxa"/>
            <w:vMerge w:val="restart"/>
          </w:tcPr>
          <w:p w:rsidR="0077536E" w:rsidRPr="00055B18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3.3.2 Implementing involves the ability to work methodically and safely, demonstrating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 xml:space="preserve">competence in the required manipulative skills and efficiency in managing time.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Raw 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should be methodically collected and recorded during the course of the investigation.</w:t>
            </w:r>
          </w:p>
        </w:tc>
        <w:tc>
          <w:tcPr>
            <w:tcW w:w="7087" w:type="dxa"/>
          </w:tcPr>
          <w:p w:rsid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Candidates should be able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536E" w:rsidRPr="00055B18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show full regard for safety and the ethical issues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involved with the well-being of living organisms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and the environment</w:t>
            </w: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F531D4" w:rsidRDefault="0077536E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77536E" w:rsidRPr="00DA4EFD" w:rsidRDefault="0077536E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1088"/>
          <w:jc w:val="center"/>
        </w:trPr>
        <w:tc>
          <w:tcPr>
            <w:tcW w:w="3234" w:type="dxa"/>
            <w:vMerge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carry out an investigation in a methodical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organised way, demonstrating competence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the required manipulative skills and efficiency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managing time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536"/>
          <w:jc w:val="center"/>
        </w:trPr>
        <w:tc>
          <w:tcPr>
            <w:tcW w:w="3234" w:type="dxa"/>
            <w:vMerge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take all measurements to an appropriate level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accuracy and precision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254" w:rsidRPr="00F531D4" w:rsidTr="00DF1254">
        <w:trPr>
          <w:trHeight w:val="1565"/>
          <w:jc w:val="center"/>
        </w:trPr>
        <w:tc>
          <w:tcPr>
            <w:tcW w:w="3234" w:type="dxa"/>
            <w:vMerge/>
          </w:tcPr>
          <w:p w:rsidR="00DF1254" w:rsidRPr="00143CE4" w:rsidRDefault="00DF1254" w:rsidP="00143C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F1254" w:rsidRPr="00143CE4" w:rsidRDefault="00DF125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collect and present raw data in a suitable table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conforming to the conventions specified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the Institute of Biology publication, Biological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Nomenclature, Recommendations on Terms,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Units and Symbols, 3rd edition (2000) concerning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organisation and presentation of units.</w:t>
            </w:r>
          </w:p>
        </w:tc>
        <w:tc>
          <w:tcPr>
            <w:tcW w:w="797" w:type="dxa"/>
          </w:tcPr>
          <w:p w:rsidR="00DF1254" w:rsidRPr="00F531D4" w:rsidRDefault="00DF125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F1254" w:rsidRPr="00F531D4" w:rsidRDefault="00DF125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F1254" w:rsidRPr="00DA4EFD" w:rsidRDefault="00DF125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F1254" w:rsidRPr="00DA4EFD" w:rsidRDefault="00DF125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820"/>
          <w:jc w:val="center"/>
        </w:trPr>
        <w:tc>
          <w:tcPr>
            <w:tcW w:w="3234" w:type="dxa"/>
            <w:vMerge w:val="restart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lastRenderedPageBreak/>
              <w:t>3.3.3 Raw data may require processing. Processed data should be used to plot graphs that</w:t>
            </w:r>
            <w:r w:rsidR="00DF12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illustrate patterns and trends from which appropriate conclusions may be drawn.</w:t>
            </w:r>
          </w:p>
          <w:p w:rsidR="00143CE4" w:rsidRPr="00055B18" w:rsidRDefault="00143CE4" w:rsidP="00DF125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Scientific knowledge from the AS specification should be used to explain these</w:t>
            </w:r>
            <w:r w:rsidR="00DF12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conclusions.</w:t>
            </w: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Candidates should be able to</w:t>
            </w:r>
          </w:p>
          <w:p w:rsidR="00143CE4" w:rsidRPr="00055B18" w:rsidRDefault="00143CE4" w:rsidP="00DF125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process data by carrying out appropriate</w:t>
            </w:r>
            <w:r w:rsidR="00DF12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calculations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285"/>
          <w:jc w:val="center"/>
        </w:trPr>
        <w:tc>
          <w:tcPr>
            <w:tcW w:w="3234" w:type="dxa"/>
            <w:vMerge/>
          </w:tcPr>
          <w:p w:rsidR="00143CE4" w:rsidRPr="00702804" w:rsidRDefault="00143CE4" w:rsidP="006452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702804" w:rsidRDefault="00DF1254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select relevant data to present an effective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summary of the results of an investigation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plot this as an appropriate graph conforming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to the conventions specified in the Institute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Biology publication, Biological Nomenclature,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Recommendations on Terms, Units and Symbols,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3rd edition (2000) concerning organisation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presentation of units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318"/>
          <w:jc w:val="center"/>
        </w:trPr>
        <w:tc>
          <w:tcPr>
            <w:tcW w:w="3234" w:type="dxa"/>
            <w:vMerge/>
          </w:tcPr>
          <w:p w:rsidR="00143CE4" w:rsidRPr="00702804" w:rsidRDefault="00143CE4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702804" w:rsidRDefault="00DF1254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describe, concisely but fully, the trends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patterns in data collected, relating these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specific values, quantities and units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448"/>
          <w:jc w:val="center"/>
        </w:trPr>
        <w:tc>
          <w:tcPr>
            <w:tcW w:w="3234" w:type="dxa"/>
            <w:vMerge/>
          </w:tcPr>
          <w:p w:rsidR="00143CE4" w:rsidRPr="00702804" w:rsidRDefault="00143CE4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702804" w:rsidRDefault="00DF1254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recognise correlations and causal relationships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990"/>
          <w:jc w:val="center"/>
        </w:trPr>
        <w:tc>
          <w:tcPr>
            <w:tcW w:w="3234" w:type="dxa"/>
            <w:vMerge/>
          </w:tcPr>
          <w:p w:rsidR="00143CE4" w:rsidRPr="00702804" w:rsidRDefault="00143CE4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143CE4" w:rsidRPr="00702804" w:rsidRDefault="00DF1254" w:rsidP="0070280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draw valid conclusions, relating explanations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to specific aspects of the data collected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applying biological knowledge and understanding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from the AS specification.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3CE4" w:rsidRPr="00F531D4" w:rsidTr="00DF1254">
        <w:trPr>
          <w:trHeight w:val="696"/>
          <w:jc w:val="center"/>
        </w:trPr>
        <w:tc>
          <w:tcPr>
            <w:tcW w:w="3234" w:type="dxa"/>
            <w:vMerge w:val="restart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3.3.4 Limitations are inherent in the material and apparatus used, and procedures adopted.</w:t>
            </w:r>
          </w:p>
          <w:p w:rsidR="00143CE4" w:rsidRPr="00055B18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These limitations should be identified and methods of overcoming them suggested.</w:t>
            </w:r>
          </w:p>
        </w:tc>
        <w:tc>
          <w:tcPr>
            <w:tcW w:w="7087" w:type="dxa"/>
          </w:tcPr>
          <w:p w:rsidR="00143CE4" w:rsidRPr="00143CE4" w:rsidRDefault="00143CE4" w:rsidP="00143CE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Candidates should be able to</w:t>
            </w:r>
          </w:p>
          <w:p w:rsidR="00143CE4" w:rsidRPr="00055B18" w:rsidRDefault="00143CE4" w:rsidP="00DF1254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identify the limitations of the material, apparatus</w:t>
            </w:r>
            <w:r w:rsidR="00DF12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and techniques used</w:t>
            </w: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F531D4" w:rsidRDefault="00143CE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143CE4" w:rsidRPr="00DA4EFD" w:rsidRDefault="00143CE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254" w:rsidRPr="00F531D4" w:rsidTr="00DF1254">
        <w:trPr>
          <w:trHeight w:val="919"/>
          <w:jc w:val="center"/>
        </w:trPr>
        <w:tc>
          <w:tcPr>
            <w:tcW w:w="3234" w:type="dxa"/>
            <w:vMerge/>
          </w:tcPr>
          <w:p w:rsidR="00DF1254" w:rsidRPr="00702804" w:rsidRDefault="00DF1254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F1254" w:rsidRPr="00702804" w:rsidRDefault="00DF1254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discuss the effects of these limitations on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reliability and precision of the data and 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the conclusions that may be drawn, resolving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conflicting evidence</w:t>
            </w:r>
          </w:p>
        </w:tc>
        <w:tc>
          <w:tcPr>
            <w:tcW w:w="797" w:type="dxa"/>
          </w:tcPr>
          <w:p w:rsidR="00DF1254" w:rsidRPr="00F531D4" w:rsidRDefault="00DF125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F1254" w:rsidRPr="00F531D4" w:rsidRDefault="00DF125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F1254" w:rsidRPr="00DA4EFD" w:rsidRDefault="00DF125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F1254" w:rsidRPr="00DA4EFD" w:rsidRDefault="00DF125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254" w:rsidRPr="00F531D4" w:rsidTr="00DF1254">
        <w:trPr>
          <w:trHeight w:val="552"/>
          <w:jc w:val="center"/>
        </w:trPr>
        <w:tc>
          <w:tcPr>
            <w:tcW w:w="3234" w:type="dxa"/>
            <w:vMerge/>
          </w:tcPr>
          <w:p w:rsidR="00DF1254" w:rsidRPr="00702804" w:rsidRDefault="00DF1254" w:rsidP="007028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87" w:type="dxa"/>
          </w:tcPr>
          <w:p w:rsidR="00DF1254" w:rsidRPr="00702804" w:rsidRDefault="00DF1254" w:rsidP="0077536E">
            <w:pPr>
              <w:rPr>
                <w:rFonts w:ascii="Comic Sans MS" w:hAnsi="Comic Sans MS"/>
                <w:sz w:val="20"/>
                <w:szCs w:val="20"/>
              </w:rPr>
            </w:pPr>
            <w:r w:rsidRPr="00143CE4">
              <w:rPr>
                <w:rFonts w:ascii="Comic Sans MS" w:hAnsi="Comic Sans MS"/>
                <w:sz w:val="20"/>
                <w:szCs w:val="20"/>
              </w:rPr>
              <w:t>• suggest realistic ways in which the effect of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CE4">
              <w:rPr>
                <w:rFonts w:ascii="Comic Sans MS" w:hAnsi="Comic Sans MS"/>
                <w:sz w:val="20"/>
                <w:szCs w:val="20"/>
              </w:rPr>
              <w:t>limitations may be reduced.</w:t>
            </w:r>
          </w:p>
        </w:tc>
        <w:tc>
          <w:tcPr>
            <w:tcW w:w="797" w:type="dxa"/>
          </w:tcPr>
          <w:p w:rsidR="00DF1254" w:rsidRPr="00F531D4" w:rsidRDefault="00DF1254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F1254" w:rsidRPr="00F531D4" w:rsidRDefault="00DF1254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F1254" w:rsidRPr="00DA4EFD" w:rsidRDefault="00DF125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F1254" w:rsidRPr="00DA4EFD" w:rsidRDefault="00DF1254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D185D" w:rsidRPr="00C66931" w:rsidRDefault="00DD185D" w:rsidP="00352F48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1E18CF" w:rsidRPr="001D52A1" w:rsidRDefault="001E18CF" w:rsidP="00DD185D">
      <w:pPr>
        <w:spacing w:after="0"/>
        <w:ind w:left="-142"/>
        <w:rPr>
          <w:rFonts w:ascii="Bookman Old Style" w:hAnsi="Bookman Old Style"/>
          <w:b/>
          <w:sz w:val="24"/>
          <w:szCs w:val="24"/>
        </w:rPr>
      </w:pPr>
      <w:r w:rsidRPr="001D52A1">
        <w:rPr>
          <w:rFonts w:ascii="Bookman Old Style" w:hAnsi="Bookman Old Style"/>
          <w:b/>
          <w:sz w:val="24"/>
          <w:szCs w:val="24"/>
        </w:rPr>
        <w:t>Grade tracking:</w:t>
      </w:r>
    </w:p>
    <w:tbl>
      <w:tblPr>
        <w:tblStyle w:val="TableGrid"/>
        <w:tblW w:w="0" w:type="auto"/>
        <w:tblInd w:w="1809" w:type="dxa"/>
        <w:tblLook w:val="04A0"/>
      </w:tblPr>
      <w:tblGrid>
        <w:gridCol w:w="1150"/>
        <w:gridCol w:w="1150"/>
        <w:gridCol w:w="1151"/>
        <w:gridCol w:w="1150"/>
        <w:gridCol w:w="1151"/>
        <w:gridCol w:w="1150"/>
        <w:gridCol w:w="1150"/>
        <w:gridCol w:w="1151"/>
        <w:gridCol w:w="1150"/>
        <w:gridCol w:w="1151"/>
        <w:gridCol w:w="1150"/>
        <w:gridCol w:w="1151"/>
      </w:tblGrid>
      <w:tr w:rsidR="00C66931" w:rsidRPr="001D52A1" w:rsidTr="00C66931"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</w:t>
            </w:r>
            <w:r w:rsidR="001D52A1" w:rsidRPr="001D52A1">
              <w:rPr>
                <w:rFonts w:ascii="Bookman Old Style" w:hAnsi="Bookman Old Style"/>
                <w:i/>
                <w:sz w:val="24"/>
                <w:szCs w:val="24"/>
              </w:rPr>
              <w:t>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  <w:tc>
          <w:tcPr>
            <w:tcW w:w="1150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Grade</w:t>
            </w:r>
          </w:p>
        </w:tc>
        <w:tc>
          <w:tcPr>
            <w:tcW w:w="1151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1D52A1">
              <w:rPr>
                <w:rFonts w:ascii="Bookman Old Style" w:hAnsi="Bookman Old Style"/>
                <w:i/>
                <w:sz w:val="24"/>
                <w:szCs w:val="24"/>
              </w:rPr>
              <w:t>Date</w:t>
            </w:r>
          </w:p>
        </w:tc>
      </w:tr>
      <w:tr w:rsidR="00C66931" w:rsidRPr="001D52A1" w:rsidTr="00C66931"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1E18CF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1151" w:type="dxa"/>
          </w:tcPr>
          <w:p w:rsidR="00C66931" w:rsidRPr="001D52A1" w:rsidRDefault="00C66931" w:rsidP="00550741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1E18CF" w:rsidRPr="001D52A1" w:rsidRDefault="001E18CF" w:rsidP="001E18CF">
      <w:pPr>
        <w:jc w:val="center"/>
        <w:rPr>
          <w:rFonts w:ascii="Bookman Old Style" w:hAnsi="Bookman Old Style"/>
          <w:i/>
          <w:sz w:val="24"/>
          <w:szCs w:val="24"/>
        </w:rPr>
      </w:pPr>
      <w:r w:rsidRPr="001D52A1">
        <w:rPr>
          <w:rFonts w:ascii="Bookman Old Style" w:hAnsi="Bookman Old Style"/>
          <w:i/>
          <w:sz w:val="24"/>
          <w:szCs w:val="24"/>
        </w:rPr>
        <w:t>Note: You should discuss this checklist</w:t>
      </w:r>
      <w:r w:rsidR="008438C1" w:rsidRPr="001D52A1">
        <w:rPr>
          <w:rFonts w:ascii="Bookman Old Style" w:hAnsi="Bookman Old Style"/>
          <w:i/>
          <w:sz w:val="24"/>
          <w:szCs w:val="24"/>
        </w:rPr>
        <w:t xml:space="preserve"> regularly</w:t>
      </w:r>
      <w:r w:rsidRPr="001D52A1">
        <w:rPr>
          <w:rFonts w:ascii="Bookman Old Style" w:hAnsi="Bookman Old Style"/>
          <w:i/>
          <w:sz w:val="24"/>
          <w:szCs w:val="24"/>
        </w:rPr>
        <w:t xml:space="preserve"> with your subject teacher/mentor</w:t>
      </w:r>
    </w:p>
    <w:p w:rsidR="00544A4F" w:rsidRDefault="00544A4F"/>
    <w:sectPr w:rsidR="00544A4F" w:rsidSect="00900E68">
      <w:footerReference w:type="default" r:id="rId8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5D" w:rsidRDefault="00DD425D" w:rsidP="006524D0">
      <w:pPr>
        <w:spacing w:after="0" w:line="240" w:lineRule="auto"/>
      </w:pPr>
      <w:r>
        <w:separator/>
      </w:r>
    </w:p>
  </w:endnote>
  <w:endnote w:type="continuationSeparator" w:id="1">
    <w:p w:rsidR="00DD425D" w:rsidRDefault="00DD425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A" w:rsidRPr="006524D0" w:rsidRDefault="0020556A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5D" w:rsidRDefault="00DD425D" w:rsidP="006524D0">
      <w:pPr>
        <w:spacing w:after="0" w:line="240" w:lineRule="auto"/>
      </w:pPr>
      <w:r>
        <w:separator/>
      </w:r>
    </w:p>
  </w:footnote>
  <w:footnote w:type="continuationSeparator" w:id="1">
    <w:p w:rsidR="00DD425D" w:rsidRDefault="00DD425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9C1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328"/>
    <w:multiLevelType w:val="hybridMultilevel"/>
    <w:tmpl w:val="DBC4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090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4037"/>
    <w:multiLevelType w:val="hybridMultilevel"/>
    <w:tmpl w:val="5F220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2866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76C1D"/>
    <w:multiLevelType w:val="hybridMultilevel"/>
    <w:tmpl w:val="BBFA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004EC"/>
    <w:multiLevelType w:val="hybridMultilevel"/>
    <w:tmpl w:val="9260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0C02BB"/>
    <w:rsid w:val="000F36FE"/>
    <w:rsid w:val="001111F9"/>
    <w:rsid w:val="001161AD"/>
    <w:rsid w:val="00124EA7"/>
    <w:rsid w:val="00125032"/>
    <w:rsid w:val="00143CE4"/>
    <w:rsid w:val="0016452A"/>
    <w:rsid w:val="001976B7"/>
    <w:rsid w:val="001D52A1"/>
    <w:rsid w:val="001E18CF"/>
    <w:rsid w:val="0020556A"/>
    <w:rsid w:val="0024136A"/>
    <w:rsid w:val="00252E0A"/>
    <w:rsid w:val="00271A02"/>
    <w:rsid w:val="002A63E4"/>
    <w:rsid w:val="00352F48"/>
    <w:rsid w:val="00383D50"/>
    <w:rsid w:val="0043347A"/>
    <w:rsid w:val="0045113A"/>
    <w:rsid w:val="004F1C69"/>
    <w:rsid w:val="005407A8"/>
    <w:rsid w:val="00544A4F"/>
    <w:rsid w:val="00550741"/>
    <w:rsid w:val="005755CD"/>
    <w:rsid w:val="00581BD0"/>
    <w:rsid w:val="005E4DC9"/>
    <w:rsid w:val="00645209"/>
    <w:rsid w:val="006524D0"/>
    <w:rsid w:val="00702804"/>
    <w:rsid w:val="007649E3"/>
    <w:rsid w:val="0077536E"/>
    <w:rsid w:val="007775F5"/>
    <w:rsid w:val="007819F0"/>
    <w:rsid w:val="00785B84"/>
    <w:rsid w:val="008438C1"/>
    <w:rsid w:val="00845EC5"/>
    <w:rsid w:val="00894554"/>
    <w:rsid w:val="009002F1"/>
    <w:rsid w:val="00900E68"/>
    <w:rsid w:val="00902482"/>
    <w:rsid w:val="009405D0"/>
    <w:rsid w:val="009641E9"/>
    <w:rsid w:val="009A3077"/>
    <w:rsid w:val="00A40A05"/>
    <w:rsid w:val="00AB3200"/>
    <w:rsid w:val="00B555F1"/>
    <w:rsid w:val="00B55D9D"/>
    <w:rsid w:val="00B83BF8"/>
    <w:rsid w:val="00C3568D"/>
    <w:rsid w:val="00C66931"/>
    <w:rsid w:val="00CA3470"/>
    <w:rsid w:val="00CA3B4B"/>
    <w:rsid w:val="00CD5A57"/>
    <w:rsid w:val="00CE786D"/>
    <w:rsid w:val="00D23C8C"/>
    <w:rsid w:val="00D2566A"/>
    <w:rsid w:val="00D621AF"/>
    <w:rsid w:val="00D71DFE"/>
    <w:rsid w:val="00D976F6"/>
    <w:rsid w:val="00DA4EFD"/>
    <w:rsid w:val="00DA7E28"/>
    <w:rsid w:val="00DB7237"/>
    <w:rsid w:val="00DC6B2C"/>
    <w:rsid w:val="00DD185D"/>
    <w:rsid w:val="00DD425D"/>
    <w:rsid w:val="00DF1254"/>
    <w:rsid w:val="00DF4AD1"/>
    <w:rsid w:val="00E10C6F"/>
    <w:rsid w:val="00E703D6"/>
    <w:rsid w:val="00E7318E"/>
    <w:rsid w:val="00F0335A"/>
    <w:rsid w:val="00F30632"/>
    <w:rsid w:val="00F531D4"/>
    <w:rsid w:val="00F95855"/>
    <w:rsid w:val="00FC49FF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Asharp</cp:lastModifiedBy>
  <cp:revision>3</cp:revision>
  <cp:lastPrinted>2013-05-30T11:16:00Z</cp:lastPrinted>
  <dcterms:created xsi:type="dcterms:W3CDTF">2013-06-19T09:30:00Z</dcterms:created>
  <dcterms:modified xsi:type="dcterms:W3CDTF">2013-06-19T09:47:00Z</dcterms:modified>
</cp:coreProperties>
</file>